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A9" w:rsidRPr="00A858A9" w:rsidRDefault="00A858A9" w:rsidP="00A858A9">
      <w:pPr>
        <w:pStyle w:val="Nadpis3"/>
        <w:rPr>
          <w:rFonts w:eastAsia="Calibri"/>
          <w:color w:val="auto"/>
          <w:sz w:val="20"/>
          <w:szCs w:val="20"/>
          <w:u w:val="single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2D47F7">
        <w:rPr>
          <w:rFonts w:eastAsia="Calibri"/>
          <w:color w:val="auto"/>
          <w:sz w:val="20"/>
          <w:szCs w:val="20"/>
        </w:rPr>
        <w:t>Šumperk ON – oprava VB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858A9" w:rsidRDefault="00A858A9" w:rsidP="00A858A9">
      <w:pPr>
        <w:pStyle w:val="Bezmezer"/>
        <w:rPr>
          <w:rFonts w:eastAsia="Times New Roman" w:cstheme="minorHAnsi"/>
          <w:b/>
          <w:sz w:val="22"/>
          <w:szCs w:val="22"/>
          <w:lang w:eastAsia="cs-CZ"/>
        </w:rPr>
      </w:pPr>
      <w:r w:rsidRPr="00A858A9">
        <w:rPr>
          <w:rFonts w:eastAsia="Times New Roman" w:cstheme="minorHAnsi"/>
          <w:b/>
          <w:sz w:val="22"/>
          <w:lang w:eastAsia="cs-CZ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A858A9" w:rsidRPr="00C866C3" w:rsidRDefault="00A858A9" w:rsidP="004E11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014AD2" w:rsidRPr="00014AD2">
        <w:rPr>
          <w:rFonts w:cstheme="minorHAnsi"/>
          <w:sz w:val="20"/>
          <w:szCs w:val="20"/>
        </w:rPr>
        <w:t xml:space="preserve">oprava </w:t>
      </w:r>
      <w:r w:rsidR="002D47F7">
        <w:rPr>
          <w:rFonts w:cstheme="minorHAnsi"/>
          <w:sz w:val="20"/>
          <w:szCs w:val="20"/>
        </w:rPr>
        <w:t xml:space="preserve">výpravní budovy v Šumperku. Jedná se zejména o </w:t>
      </w:r>
      <w:r w:rsidR="00B73F36">
        <w:rPr>
          <w:rFonts w:cstheme="minorHAnsi"/>
          <w:sz w:val="20"/>
          <w:szCs w:val="20"/>
        </w:rPr>
        <w:t>opravu</w:t>
      </w:r>
      <w:r w:rsidR="002D47F7">
        <w:rPr>
          <w:rFonts w:cstheme="minorHAnsi"/>
          <w:sz w:val="20"/>
          <w:szCs w:val="20"/>
        </w:rPr>
        <w:t xml:space="preserve"> toalet, vestibulu a fasády objektu. Součástí je </w:t>
      </w:r>
      <w:r w:rsidR="00646ACB">
        <w:rPr>
          <w:rFonts w:cstheme="minorHAnsi"/>
          <w:sz w:val="20"/>
          <w:szCs w:val="20"/>
        </w:rPr>
        <w:t xml:space="preserve">i </w:t>
      </w:r>
      <w:r w:rsidR="00C67315">
        <w:rPr>
          <w:rFonts w:cstheme="minorHAnsi"/>
          <w:sz w:val="20"/>
          <w:szCs w:val="20"/>
        </w:rPr>
        <w:t>o</w:t>
      </w:r>
      <w:r w:rsidR="002D47F7">
        <w:rPr>
          <w:rFonts w:cstheme="minorHAnsi"/>
          <w:sz w:val="20"/>
          <w:szCs w:val="20"/>
        </w:rPr>
        <w:t>prav</w:t>
      </w:r>
      <w:r w:rsidR="00646ACB">
        <w:rPr>
          <w:rFonts w:cstheme="minorHAnsi"/>
          <w:sz w:val="20"/>
          <w:szCs w:val="20"/>
        </w:rPr>
        <w:t>a</w:t>
      </w:r>
      <w:r w:rsidR="002D47F7">
        <w:rPr>
          <w:rFonts w:cstheme="minorHAnsi"/>
          <w:sz w:val="20"/>
          <w:szCs w:val="20"/>
        </w:rPr>
        <w:t xml:space="preserve"> vytápění budovy a opravy el</w:t>
      </w:r>
      <w:r w:rsidR="00AE091B">
        <w:rPr>
          <w:rFonts w:cstheme="minorHAnsi"/>
          <w:sz w:val="20"/>
          <w:szCs w:val="20"/>
        </w:rPr>
        <w:t>e</w:t>
      </w:r>
      <w:r w:rsidR="002D47F7">
        <w:rPr>
          <w:rFonts w:cstheme="minorHAnsi"/>
          <w:sz w:val="20"/>
          <w:szCs w:val="20"/>
        </w:rPr>
        <w:t>ktro-instalací.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DC2FE1" w:rsidRPr="00DC2FE1" w:rsidRDefault="00DC2FE1" w:rsidP="00DC2FE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C2FE1">
        <w:rPr>
          <w:rFonts w:cstheme="minorHAnsi"/>
          <w:b/>
          <w:sz w:val="20"/>
          <w:szCs w:val="20"/>
        </w:rPr>
        <w:t xml:space="preserve">SO-01 </w:t>
      </w:r>
      <w:r w:rsidR="002D47F7">
        <w:rPr>
          <w:rFonts w:cstheme="minorHAnsi"/>
          <w:b/>
          <w:sz w:val="20"/>
          <w:szCs w:val="20"/>
        </w:rPr>
        <w:t>Stavební část</w:t>
      </w: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D47F7" w:rsidRDefault="00C67315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Stěžejní částí </w:t>
      </w:r>
      <w:r w:rsidR="00203D9A">
        <w:rPr>
          <w:rFonts w:cstheme="minorHAnsi"/>
          <w:sz w:val="20"/>
          <w:szCs w:val="20"/>
        </w:rPr>
        <w:t xml:space="preserve">bude </w:t>
      </w:r>
      <w:r>
        <w:rPr>
          <w:rFonts w:cstheme="minorHAnsi"/>
          <w:sz w:val="20"/>
          <w:szCs w:val="20"/>
        </w:rPr>
        <w:t>o</w:t>
      </w:r>
      <w:r w:rsidR="0091282A">
        <w:rPr>
          <w:rFonts w:cstheme="minorHAnsi"/>
          <w:sz w:val="20"/>
          <w:szCs w:val="20"/>
        </w:rPr>
        <w:t>prava</w:t>
      </w:r>
      <w:r w:rsidR="00203D9A">
        <w:rPr>
          <w:rFonts w:cstheme="minorHAnsi"/>
          <w:sz w:val="20"/>
          <w:szCs w:val="20"/>
        </w:rPr>
        <w:t xml:space="preserve"> toalet. Stávající stav je </w:t>
      </w:r>
      <w:r w:rsidR="0091282A">
        <w:rPr>
          <w:rFonts w:cstheme="minorHAnsi"/>
          <w:sz w:val="20"/>
          <w:szCs w:val="20"/>
        </w:rPr>
        <w:t>nevyhovující a neodpovídá standardům</w:t>
      </w:r>
      <w:r w:rsidR="00203D9A">
        <w:rPr>
          <w:rFonts w:cstheme="minorHAnsi"/>
          <w:sz w:val="20"/>
          <w:szCs w:val="20"/>
        </w:rPr>
        <w:t>. Budou vybourány stávající zařizovací předměty, obkl</w:t>
      </w:r>
      <w:r w:rsidR="0091282A">
        <w:rPr>
          <w:rFonts w:cstheme="minorHAnsi"/>
          <w:sz w:val="20"/>
          <w:szCs w:val="20"/>
        </w:rPr>
        <w:t>ady a dlažby, příčky i vstupní d</w:t>
      </w:r>
      <w:r w:rsidR="00203D9A">
        <w:rPr>
          <w:rFonts w:cstheme="minorHAnsi"/>
          <w:sz w:val="20"/>
          <w:szCs w:val="20"/>
        </w:rPr>
        <w:t>veře</w:t>
      </w:r>
      <w:r w:rsidR="00646ACB">
        <w:rPr>
          <w:rFonts w:cstheme="minorHAnsi"/>
          <w:sz w:val="20"/>
          <w:szCs w:val="20"/>
        </w:rPr>
        <w:t xml:space="preserve"> a nahrazeny</w:t>
      </w:r>
      <w:r w:rsidR="00203D9A">
        <w:rPr>
          <w:rFonts w:cstheme="minorHAnsi"/>
          <w:sz w:val="20"/>
          <w:szCs w:val="20"/>
        </w:rPr>
        <w:t xml:space="preserve">. </w:t>
      </w:r>
      <w:r w:rsidR="00271504">
        <w:rPr>
          <w:rFonts w:cstheme="minorHAnsi"/>
          <w:sz w:val="20"/>
          <w:szCs w:val="20"/>
        </w:rPr>
        <w:t>Celkově se mění vnitřní dispozice</w:t>
      </w:r>
      <w:r w:rsidR="00646ACB">
        <w:rPr>
          <w:rFonts w:cstheme="minorHAnsi"/>
          <w:sz w:val="20"/>
          <w:szCs w:val="20"/>
        </w:rPr>
        <w:t>, viz PD</w:t>
      </w:r>
      <w:r w:rsidR="00271504">
        <w:rPr>
          <w:rFonts w:cstheme="minorHAnsi"/>
          <w:sz w:val="20"/>
          <w:szCs w:val="20"/>
        </w:rPr>
        <w:t xml:space="preserve">. </w:t>
      </w:r>
      <w:r w:rsidR="0091282A">
        <w:rPr>
          <w:rFonts w:cstheme="minorHAnsi"/>
          <w:sz w:val="20"/>
          <w:szCs w:val="20"/>
        </w:rPr>
        <w:t>D</w:t>
      </w:r>
      <w:r w:rsidR="00D72A6E">
        <w:rPr>
          <w:rFonts w:cstheme="minorHAnsi"/>
          <w:sz w:val="20"/>
          <w:szCs w:val="20"/>
        </w:rPr>
        <w:t>is</w:t>
      </w:r>
      <w:r w:rsidR="00271504">
        <w:rPr>
          <w:rFonts w:cstheme="minorHAnsi"/>
          <w:sz w:val="20"/>
          <w:szCs w:val="20"/>
        </w:rPr>
        <w:t>pozice</w:t>
      </w:r>
      <w:r w:rsidR="00646ACB">
        <w:rPr>
          <w:rFonts w:cstheme="minorHAnsi"/>
          <w:sz w:val="20"/>
          <w:szCs w:val="20"/>
        </w:rPr>
        <w:t xml:space="preserve"> a celkové řešení</w:t>
      </w:r>
      <w:r w:rsidR="00271504">
        <w:rPr>
          <w:rFonts w:cstheme="minorHAnsi"/>
          <w:sz w:val="20"/>
          <w:szCs w:val="20"/>
        </w:rPr>
        <w:t xml:space="preserve"> je na</w:t>
      </w:r>
      <w:r w:rsidR="00646ACB">
        <w:rPr>
          <w:rFonts w:cstheme="minorHAnsi"/>
          <w:sz w:val="20"/>
          <w:szCs w:val="20"/>
        </w:rPr>
        <w:t>vrženo</w:t>
      </w:r>
      <w:r w:rsidR="00271504">
        <w:rPr>
          <w:rFonts w:cstheme="minorHAnsi"/>
          <w:sz w:val="20"/>
          <w:szCs w:val="20"/>
        </w:rPr>
        <w:t xml:space="preserve"> s ohledem na </w:t>
      </w:r>
      <w:r w:rsidR="00D72A6E">
        <w:rPr>
          <w:rFonts w:cstheme="minorHAnsi"/>
          <w:sz w:val="20"/>
          <w:szCs w:val="20"/>
        </w:rPr>
        <w:t>směrnici SŽ PO-22/2019-GŘ, která musí být při realizaci dodržena. Pro vstupní dveře budou provedeny stavební otvory a stávající dveře vyměněny za dřevěné masivní s nadsvětlíkem. Design a členění dveří bude sjednocen s ostatními dveřmi v budově. U vstupu na WC bude osaze</w:t>
      </w:r>
      <w:r w:rsidR="00646ACB">
        <w:rPr>
          <w:rFonts w:cstheme="minorHAnsi"/>
          <w:sz w:val="20"/>
          <w:szCs w:val="20"/>
        </w:rPr>
        <w:t xml:space="preserve">n platební terminál zabudovaný </w:t>
      </w:r>
      <w:r w:rsidR="00D72A6E">
        <w:rPr>
          <w:rFonts w:cstheme="minorHAnsi"/>
          <w:sz w:val="20"/>
          <w:szCs w:val="20"/>
        </w:rPr>
        <w:t>d</w:t>
      </w:r>
      <w:r w:rsidR="00646ACB">
        <w:rPr>
          <w:rFonts w:cstheme="minorHAnsi"/>
          <w:sz w:val="20"/>
          <w:szCs w:val="20"/>
        </w:rPr>
        <w:t>o</w:t>
      </w:r>
      <w:r w:rsidR="00D72A6E">
        <w:rPr>
          <w:rFonts w:cstheme="minorHAnsi"/>
          <w:sz w:val="20"/>
          <w:szCs w:val="20"/>
        </w:rPr>
        <w:t xml:space="preserve"> boční stěny a u dveří čtecí zařízení, napojené na zámek.</w:t>
      </w:r>
    </w:p>
    <w:p w:rsidR="00D72A6E" w:rsidRDefault="00A243DF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D72A6E">
        <w:rPr>
          <w:rFonts w:cstheme="minorHAnsi"/>
          <w:sz w:val="20"/>
          <w:szCs w:val="20"/>
        </w:rPr>
        <w:t xml:space="preserve"> vestibul</w:t>
      </w:r>
      <w:r>
        <w:rPr>
          <w:rFonts w:cstheme="minorHAnsi"/>
          <w:sz w:val="20"/>
          <w:szCs w:val="20"/>
        </w:rPr>
        <w:t>u budovy budou částečně odstraněny zařizovací předměty. Budou vyspraveny omítky a provedeny malby v rozsahu dle výkazu výměr. Oprava se také týká kamenných prvků a čistící zóny</w:t>
      </w:r>
      <w:r w:rsidR="00646ACB">
        <w:rPr>
          <w:rFonts w:cstheme="minorHAnsi"/>
          <w:sz w:val="20"/>
          <w:szCs w:val="20"/>
        </w:rPr>
        <w:t xml:space="preserve"> u vstupů</w:t>
      </w:r>
      <w:r>
        <w:rPr>
          <w:rFonts w:cstheme="minorHAnsi"/>
          <w:sz w:val="20"/>
          <w:szCs w:val="20"/>
        </w:rPr>
        <w:t>.</w:t>
      </w:r>
      <w:r w:rsidR="002F0457">
        <w:rPr>
          <w:rFonts w:cstheme="minorHAnsi"/>
          <w:sz w:val="20"/>
          <w:szCs w:val="20"/>
        </w:rPr>
        <w:t xml:space="preserve"> Kamenické práce zahrnují i exteriérové prvky, zejména rozšíření vstupní rampy a oprava kamenných okrajů nástupiště.</w:t>
      </w:r>
    </w:p>
    <w:p w:rsidR="005715B8" w:rsidRDefault="002F0457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Hlavní vstupní dveře</w:t>
      </w:r>
      <w:r w:rsidR="00A243DF">
        <w:rPr>
          <w:rFonts w:cstheme="minorHAnsi"/>
          <w:sz w:val="20"/>
          <w:szCs w:val="20"/>
        </w:rPr>
        <w:t xml:space="preserve"> do vestibulu z ulice ale i nástupiště budou také vyměněny za </w:t>
      </w:r>
      <w:r w:rsidR="0091282A">
        <w:rPr>
          <w:rFonts w:cstheme="minorHAnsi"/>
          <w:sz w:val="20"/>
          <w:szCs w:val="20"/>
        </w:rPr>
        <w:t>jin</w:t>
      </w:r>
      <w:r w:rsidR="00A243DF">
        <w:rPr>
          <w:rFonts w:cstheme="minorHAnsi"/>
          <w:sz w:val="20"/>
          <w:szCs w:val="20"/>
        </w:rPr>
        <w:t xml:space="preserve">é z masivního tvrdého dřeva. Design a členění dveří zůstane zachováno. </w:t>
      </w:r>
    </w:p>
    <w:p w:rsidR="00A243DF" w:rsidRDefault="00A243DF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Veškeré prvky musí být provedené a umístěné i s ohledem na osoby s omezenou schopností pohybu a orientace. </w:t>
      </w:r>
    </w:p>
    <w:p w:rsidR="002D47F7" w:rsidRDefault="002D47F7" w:rsidP="0098363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83634" w:rsidRDefault="00983634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3634">
        <w:rPr>
          <w:rFonts w:cstheme="minorHAnsi"/>
          <w:b/>
          <w:sz w:val="20"/>
          <w:szCs w:val="20"/>
        </w:rPr>
        <w:t xml:space="preserve">SO-02 </w:t>
      </w:r>
      <w:r w:rsidR="005715B8">
        <w:rPr>
          <w:rFonts w:cstheme="minorHAnsi"/>
          <w:b/>
          <w:sz w:val="20"/>
          <w:szCs w:val="20"/>
        </w:rPr>
        <w:t>Vytápění, ZTI</w:t>
      </w:r>
      <w:r w:rsidRPr="00983634">
        <w:rPr>
          <w:rFonts w:cstheme="minorHAnsi"/>
          <w:b/>
          <w:sz w:val="20"/>
          <w:szCs w:val="20"/>
        </w:rPr>
        <w:t xml:space="preserve"> </w:t>
      </w:r>
      <w:r w:rsidRPr="00983634">
        <w:rPr>
          <w:rFonts w:cstheme="minorHAnsi"/>
          <w:sz w:val="20"/>
          <w:szCs w:val="20"/>
        </w:rPr>
        <w:t xml:space="preserve"> </w:t>
      </w:r>
    </w:p>
    <w:p w:rsidR="005715B8" w:rsidRDefault="005715B8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B6D10" w:rsidRDefault="006B6D10" w:rsidP="0098363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Oddíl ZTI obsahuje práce spojené zejména s opravou toalet, tedy změny tras vedení kanalizace a vodovodu.</w:t>
      </w:r>
      <w:r w:rsidR="00AD202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Dále pak </w:t>
      </w:r>
      <w:r w:rsidR="00AD2028">
        <w:rPr>
          <w:rFonts w:cstheme="minorHAnsi"/>
          <w:sz w:val="20"/>
          <w:szCs w:val="20"/>
        </w:rPr>
        <w:t>opravy rozvodů vody v celé budově a osazení ohřívačů vody.</w:t>
      </w:r>
    </w:p>
    <w:p w:rsidR="00F650B8" w:rsidRDefault="00AD2028" w:rsidP="00AD20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Oprava vytápění zahrnuje demontáž stávající kotelny a jejího vystrojen</w:t>
      </w:r>
      <w:r w:rsidR="00646ACB">
        <w:rPr>
          <w:rFonts w:cstheme="minorHAnsi"/>
          <w:sz w:val="20"/>
          <w:szCs w:val="20"/>
        </w:rPr>
        <w:t>í vč.</w:t>
      </w:r>
      <w:r w:rsidR="00C67315">
        <w:rPr>
          <w:rFonts w:cstheme="minorHAnsi"/>
          <w:sz w:val="20"/>
          <w:szCs w:val="20"/>
        </w:rPr>
        <w:t xml:space="preserve"> kotlů, její stavební o</w:t>
      </w:r>
      <w:r>
        <w:rPr>
          <w:rFonts w:cstheme="minorHAnsi"/>
          <w:sz w:val="20"/>
          <w:szCs w:val="20"/>
        </w:rPr>
        <w:t>pravy a osazení kotlů. Dále budou prováděny související práce na opravě otopné soustavy v rámci celé budovy. Nedílnou součástí je provedení systému měření a regulace.</w:t>
      </w:r>
    </w:p>
    <w:p w:rsidR="005715B8" w:rsidRDefault="005715B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cstheme="minorHAnsi"/>
          <w:sz w:val="20"/>
          <w:szCs w:val="20"/>
        </w:rPr>
      </w:pPr>
    </w:p>
    <w:p w:rsidR="005715B8" w:rsidRDefault="005715B8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B5C1F" w:rsidRPr="00AB5C1F" w:rsidRDefault="00AB5C1F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AB5C1F">
        <w:rPr>
          <w:rFonts w:cstheme="minorHAnsi"/>
          <w:b/>
          <w:sz w:val="20"/>
          <w:szCs w:val="20"/>
        </w:rPr>
        <w:t xml:space="preserve">SO-03 </w:t>
      </w:r>
      <w:r w:rsidR="00AD2028">
        <w:rPr>
          <w:rFonts w:cstheme="minorHAnsi"/>
          <w:b/>
          <w:sz w:val="20"/>
          <w:szCs w:val="20"/>
        </w:rPr>
        <w:t>Oprava fasády</w:t>
      </w:r>
      <w:r w:rsidRPr="00AB5C1F">
        <w:rPr>
          <w:rFonts w:cstheme="minorHAnsi"/>
          <w:b/>
          <w:sz w:val="20"/>
          <w:szCs w:val="20"/>
        </w:rPr>
        <w:t xml:space="preserve"> 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  <w:u w:val="single"/>
        </w:rPr>
      </w:pPr>
    </w:p>
    <w:p w:rsidR="00AD2028" w:rsidRDefault="00AD2028" w:rsidP="00AD20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D2028">
        <w:rPr>
          <w:rFonts w:cstheme="minorHAnsi"/>
          <w:sz w:val="20"/>
          <w:szCs w:val="20"/>
        </w:rPr>
        <w:t xml:space="preserve">Opravy fasády budou probíhat lokálně </w:t>
      </w:r>
      <w:r>
        <w:rPr>
          <w:rFonts w:cstheme="minorHAnsi"/>
          <w:sz w:val="20"/>
          <w:szCs w:val="20"/>
        </w:rPr>
        <w:t>v</w:t>
      </w:r>
      <w:r w:rsidR="002F0457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místech</w:t>
      </w:r>
      <w:r w:rsidR="002F0457">
        <w:rPr>
          <w:rFonts w:cstheme="minorHAnsi"/>
          <w:sz w:val="20"/>
          <w:szCs w:val="20"/>
        </w:rPr>
        <w:t>,</w:t>
      </w:r>
      <w:r w:rsidR="00646ACB">
        <w:rPr>
          <w:rFonts w:cstheme="minorHAnsi"/>
          <w:sz w:val="20"/>
          <w:szCs w:val="20"/>
        </w:rPr>
        <w:t xml:space="preserve"> kde došlo vlivem povětrnosti</w:t>
      </w:r>
      <w:r>
        <w:rPr>
          <w:rFonts w:cstheme="minorHAnsi"/>
          <w:sz w:val="20"/>
          <w:szCs w:val="20"/>
        </w:rPr>
        <w:t> a provozu</w:t>
      </w:r>
      <w:r w:rsidR="002F0457">
        <w:rPr>
          <w:rFonts w:cstheme="minorHAnsi"/>
          <w:sz w:val="20"/>
          <w:szCs w:val="20"/>
        </w:rPr>
        <w:t xml:space="preserve"> k poškození. V takových místech bude ods</w:t>
      </w:r>
      <w:r w:rsidR="00646ACB">
        <w:rPr>
          <w:rFonts w:cstheme="minorHAnsi"/>
          <w:sz w:val="20"/>
          <w:szCs w:val="20"/>
        </w:rPr>
        <w:t xml:space="preserve">ekána nesoudržná vrstva, dále </w:t>
      </w:r>
      <w:r w:rsidR="002F0457">
        <w:rPr>
          <w:rFonts w:cstheme="minorHAnsi"/>
          <w:sz w:val="20"/>
          <w:szCs w:val="20"/>
        </w:rPr>
        <w:t>penetrována a doplněna vápenocementovou omítkou a povrchově upravena do původní podoby. Dále bude zejména ze strany nástupiště proveden nátěr fasády.</w:t>
      </w:r>
      <w:r w:rsidR="00FC0309">
        <w:rPr>
          <w:rFonts w:cstheme="minorHAnsi"/>
          <w:sz w:val="20"/>
          <w:szCs w:val="20"/>
        </w:rPr>
        <w:t xml:space="preserve"> </w:t>
      </w:r>
      <w:r w:rsidR="002F0457">
        <w:rPr>
          <w:rFonts w:cstheme="minorHAnsi"/>
          <w:sz w:val="20"/>
          <w:szCs w:val="20"/>
        </w:rPr>
        <w:t>Kamenné prvky fasády budou očištěny a doplněny.</w:t>
      </w:r>
    </w:p>
    <w:p w:rsidR="002F0457" w:rsidRPr="00AD2028" w:rsidRDefault="002F0457" w:rsidP="00AD20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D2028" w:rsidRDefault="00AD2028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</w:p>
    <w:p w:rsidR="00AB5C1F" w:rsidRDefault="00FC0309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SO-04 Elektroinstalace</w:t>
      </w:r>
    </w:p>
    <w:p w:rsidR="00FC0309" w:rsidRPr="00AB5C1F" w:rsidRDefault="00FC0309" w:rsidP="00AB5C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B42DC0" w:rsidRPr="008170EE" w:rsidRDefault="00FC0309" w:rsidP="000028AA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Elektroinstalace bude provedena dle výkazu výměr. Zejména se jedná o silnoproudé rozvody v opravovaných prostorách (toalety, kotelna,…). </w:t>
      </w:r>
      <w:r w:rsidR="00DA2068">
        <w:rPr>
          <w:rFonts w:cstheme="minorHAnsi"/>
          <w:sz w:val="20"/>
          <w:szCs w:val="20"/>
        </w:rPr>
        <w:t>Dále budou v rámci elektroinstalací nainstalovány prosvětlené butony označující stanici. Provedení musí být dle TNŽ 73 6390, směrnice č. 118 a grafického manuálu jednotného orientačního systému Správy železnic.</w:t>
      </w:r>
    </w:p>
    <w:p w:rsidR="00AB5C1F" w:rsidRDefault="00AB5C1F" w:rsidP="00AB5C1F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AB5C1F" w:rsidRPr="00DA2068" w:rsidRDefault="00DA2068" w:rsidP="00DA206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DA2068">
        <w:rPr>
          <w:rFonts w:cstheme="minorHAnsi"/>
          <w:b/>
          <w:sz w:val="20"/>
          <w:szCs w:val="20"/>
        </w:rPr>
        <w:t>Obecné</w:t>
      </w: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A858A9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DA2068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Pro kontroly prací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 xml:space="preserve"> 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ožovaly drážní provoz.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na zábor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pozemku výše uvedených  prací</w:t>
      </w:r>
      <w:r w:rsidRPr="00C8691D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Default="00A858A9" w:rsidP="00A858A9">
      <w:pPr>
        <w:pStyle w:val="Bezmezer"/>
        <w:rPr>
          <w:rFonts w:cstheme="minorHAnsi"/>
          <w:color w:val="FF0000"/>
          <w:sz w:val="20"/>
          <w:szCs w:val="20"/>
          <w:lang w:eastAsia="cs-CZ"/>
        </w:rPr>
      </w:pPr>
      <w:bookmarkStart w:id="0" w:name="_GoBack"/>
      <w:bookmarkEnd w:id="0"/>
    </w:p>
    <w:sectPr w:rsidR="00A858A9" w:rsidSect="0011668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E3B" w:rsidRDefault="007C6E3B" w:rsidP="00962258">
      <w:pPr>
        <w:spacing w:after="0" w:line="240" w:lineRule="auto"/>
      </w:pPr>
      <w:r>
        <w:separator/>
      </w:r>
    </w:p>
  </w:endnote>
  <w:end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79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79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15190B" wp14:editId="3C6E94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933E8B4" wp14:editId="577343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79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79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EC4B41A" wp14:editId="7B3DFF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48156E2" wp14:editId="40EED8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E3B" w:rsidRDefault="007C6E3B" w:rsidP="00962258">
      <w:pPr>
        <w:spacing w:after="0" w:line="240" w:lineRule="auto"/>
      </w:pPr>
      <w:r>
        <w:separator/>
      </w:r>
    </w:p>
  </w:footnote>
  <w:footnote w:type="continuationSeparator" w:id="0">
    <w:p w:rsidR="007C6E3B" w:rsidRDefault="007C6E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C0431D3" wp14:editId="47F86197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4B4C44"/>
    <w:multiLevelType w:val="multilevel"/>
    <w:tmpl w:val="CABE99FC"/>
    <w:numStyleLink w:val="ListNumbermultilevel"/>
  </w:abstractNum>
  <w:abstractNum w:abstractNumId="11">
    <w:nsid w:val="34EE549F"/>
    <w:multiLevelType w:val="multilevel"/>
    <w:tmpl w:val="CABE99FC"/>
    <w:numStyleLink w:val="ListNumbermultilevel"/>
  </w:abstractNum>
  <w:abstractNum w:abstractNumId="12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8"/>
  </w:num>
  <w:num w:numId="35">
    <w:abstractNumId w:val="9"/>
  </w:num>
  <w:num w:numId="36">
    <w:abstractNumId w:val="2"/>
  </w:num>
  <w:num w:numId="37">
    <w:abstractNumId w:val="14"/>
  </w:num>
  <w:num w:numId="38">
    <w:abstractNumId w:val="13"/>
  </w:num>
  <w:num w:numId="39">
    <w:abstractNumId w:val="12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D2A7D"/>
    <w:rsid w:val="000E23A7"/>
    <w:rsid w:val="0010693F"/>
    <w:rsid w:val="00114472"/>
    <w:rsid w:val="0011668E"/>
    <w:rsid w:val="001456C6"/>
    <w:rsid w:val="001550BC"/>
    <w:rsid w:val="001605B9"/>
    <w:rsid w:val="00170EC5"/>
    <w:rsid w:val="001747C1"/>
    <w:rsid w:val="00184743"/>
    <w:rsid w:val="001A17B6"/>
    <w:rsid w:val="001F7269"/>
    <w:rsid w:val="00203D9A"/>
    <w:rsid w:val="00207DF5"/>
    <w:rsid w:val="00211732"/>
    <w:rsid w:val="00271504"/>
    <w:rsid w:val="00280E07"/>
    <w:rsid w:val="002C31BF"/>
    <w:rsid w:val="002D08B1"/>
    <w:rsid w:val="002D47F7"/>
    <w:rsid w:val="002D797F"/>
    <w:rsid w:val="002E0CD7"/>
    <w:rsid w:val="002E139D"/>
    <w:rsid w:val="002F0457"/>
    <w:rsid w:val="00341DCF"/>
    <w:rsid w:val="0035451D"/>
    <w:rsid w:val="00357BC6"/>
    <w:rsid w:val="003956C6"/>
    <w:rsid w:val="003B1F79"/>
    <w:rsid w:val="003D1AFB"/>
    <w:rsid w:val="003F38EF"/>
    <w:rsid w:val="00441430"/>
    <w:rsid w:val="00450F07"/>
    <w:rsid w:val="00453CD3"/>
    <w:rsid w:val="00460660"/>
    <w:rsid w:val="004822D6"/>
    <w:rsid w:val="00486107"/>
    <w:rsid w:val="00491827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11AB9"/>
    <w:rsid w:val="00523EA7"/>
    <w:rsid w:val="00543D18"/>
    <w:rsid w:val="00553375"/>
    <w:rsid w:val="005624B3"/>
    <w:rsid w:val="005715B8"/>
    <w:rsid w:val="005736B7"/>
    <w:rsid w:val="00575E5A"/>
    <w:rsid w:val="005A0CEB"/>
    <w:rsid w:val="005B0776"/>
    <w:rsid w:val="005E2387"/>
    <w:rsid w:val="005F1404"/>
    <w:rsid w:val="0061068E"/>
    <w:rsid w:val="00646ACB"/>
    <w:rsid w:val="00660AD3"/>
    <w:rsid w:val="00677B7F"/>
    <w:rsid w:val="00685053"/>
    <w:rsid w:val="006A5570"/>
    <w:rsid w:val="006A689C"/>
    <w:rsid w:val="006B3D79"/>
    <w:rsid w:val="006B6D10"/>
    <w:rsid w:val="006D7AFE"/>
    <w:rsid w:val="006E0578"/>
    <w:rsid w:val="006E314D"/>
    <w:rsid w:val="00710723"/>
    <w:rsid w:val="00717D41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B64F3"/>
    <w:rsid w:val="007C419D"/>
    <w:rsid w:val="007C589B"/>
    <w:rsid w:val="007C6E3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D03B9"/>
    <w:rsid w:val="008F18D6"/>
    <w:rsid w:val="00904780"/>
    <w:rsid w:val="0091282A"/>
    <w:rsid w:val="00922385"/>
    <w:rsid w:val="009223DF"/>
    <w:rsid w:val="00936091"/>
    <w:rsid w:val="00940D8A"/>
    <w:rsid w:val="00962258"/>
    <w:rsid w:val="00963404"/>
    <w:rsid w:val="009678B7"/>
    <w:rsid w:val="009833E1"/>
    <w:rsid w:val="00983634"/>
    <w:rsid w:val="00992D9C"/>
    <w:rsid w:val="00996CB8"/>
    <w:rsid w:val="009B14A9"/>
    <w:rsid w:val="009B2E97"/>
    <w:rsid w:val="009C5C58"/>
    <w:rsid w:val="009E07F4"/>
    <w:rsid w:val="009F392E"/>
    <w:rsid w:val="00A243DF"/>
    <w:rsid w:val="00A6177B"/>
    <w:rsid w:val="00A652E6"/>
    <w:rsid w:val="00A66136"/>
    <w:rsid w:val="00A81299"/>
    <w:rsid w:val="00A858A9"/>
    <w:rsid w:val="00AA4CBB"/>
    <w:rsid w:val="00AA65FA"/>
    <w:rsid w:val="00AA7351"/>
    <w:rsid w:val="00AB5C1F"/>
    <w:rsid w:val="00AD056F"/>
    <w:rsid w:val="00AD2028"/>
    <w:rsid w:val="00AD6731"/>
    <w:rsid w:val="00AE091B"/>
    <w:rsid w:val="00B15D0D"/>
    <w:rsid w:val="00B42DC0"/>
    <w:rsid w:val="00B513F7"/>
    <w:rsid w:val="00B73F36"/>
    <w:rsid w:val="00B75EE1"/>
    <w:rsid w:val="00B77481"/>
    <w:rsid w:val="00B8518B"/>
    <w:rsid w:val="00B87E38"/>
    <w:rsid w:val="00BA1521"/>
    <w:rsid w:val="00BC6794"/>
    <w:rsid w:val="00BD7E91"/>
    <w:rsid w:val="00C02D0A"/>
    <w:rsid w:val="00C03A6E"/>
    <w:rsid w:val="00C17761"/>
    <w:rsid w:val="00C44F6A"/>
    <w:rsid w:val="00C47AE3"/>
    <w:rsid w:val="00C67315"/>
    <w:rsid w:val="00C866C3"/>
    <w:rsid w:val="00C8691D"/>
    <w:rsid w:val="00CD1FC4"/>
    <w:rsid w:val="00CE0688"/>
    <w:rsid w:val="00D21061"/>
    <w:rsid w:val="00D378CB"/>
    <w:rsid w:val="00D4108E"/>
    <w:rsid w:val="00D6163D"/>
    <w:rsid w:val="00D63470"/>
    <w:rsid w:val="00D72A6E"/>
    <w:rsid w:val="00D831A3"/>
    <w:rsid w:val="00D83C6C"/>
    <w:rsid w:val="00D94DA9"/>
    <w:rsid w:val="00DA2068"/>
    <w:rsid w:val="00DC2FE1"/>
    <w:rsid w:val="00DC75F3"/>
    <w:rsid w:val="00DD1EA4"/>
    <w:rsid w:val="00DD46F3"/>
    <w:rsid w:val="00DD5AE7"/>
    <w:rsid w:val="00DE1E1C"/>
    <w:rsid w:val="00DE56F2"/>
    <w:rsid w:val="00DF116D"/>
    <w:rsid w:val="00E407D3"/>
    <w:rsid w:val="00E43800"/>
    <w:rsid w:val="00E47E03"/>
    <w:rsid w:val="00E939C0"/>
    <w:rsid w:val="00EB104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9EB"/>
    <w:rsid w:val="00F86BA6"/>
    <w:rsid w:val="00F92A55"/>
    <w:rsid w:val="00FC0309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sharepoint/v3/fields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8BBE7D-335C-4F1E-81A1-5B491AB3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4</TotalTime>
  <Pages>2</Pages>
  <Words>692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5</cp:revision>
  <cp:lastPrinted>2020-06-23T10:57:00Z</cp:lastPrinted>
  <dcterms:created xsi:type="dcterms:W3CDTF">2020-06-22T06:11:00Z</dcterms:created>
  <dcterms:modified xsi:type="dcterms:W3CDTF">2020-06-25T05:33:00Z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